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FC72" w14:textId="46FB18CE" w:rsidR="00812C5C" w:rsidRDefault="00812C5C" w:rsidP="00812C5C">
      <w:pPr>
        <w:jc w:val="both"/>
        <w:rPr>
          <w:rFonts w:ascii="Arial" w:hAnsi="Arial" w:cs="Arial"/>
        </w:rPr>
      </w:pPr>
      <w:r>
        <w:rPr>
          <w:b/>
          <w:bCs/>
          <w:noProof/>
        </w:rPr>
        <w:drawing>
          <wp:anchor distT="0" distB="0" distL="114300" distR="114300" simplePos="0" relativeHeight="251659264" behindDoc="0" locked="0" layoutInCell="1" allowOverlap="1" wp14:anchorId="29F37F70" wp14:editId="7469323C">
            <wp:simplePos x="0" y="0"/>
            <wp:positionH relativeFrom="column">
              <wp:posOffset>-518160</wp:posOffset>
            </wp:positionH>
            <wp:positionV relativeFrom="paragraph">
              <wp:posOffset>-375920</wp:posOffset>
            </wp:positionV>
            <wp:extent cx="6315075" cy="1400175"/>
            <wp:effectExtent l="0" t="0" r="9525" b="9525"/>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50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16BD0" w14:textId="77777777" w:rsidR="00812C5C" w:rsidRDefault="00812C5C" w:rsidP="00812C5C">
      <w:pPr>
        <w:jc w:val="both"/>
        <w:rPr>
          <w:rFonts w:ascii="Arial" w:hAnsi="Arial" w:cs="Arial"/>
        </w:rPr>
      </w:pPr>
    </w:p>
    <w:p w14:paraId="162F2480" w14:textId="77777777" w:rsidR="00812C5C" w:rsidRDefault="00812C5C" w:rsidP="00812C5C">
      <w:pPr>
        <w:jc w:val="both"/>
        <w:rPr>
          <w:rFonts w:ascii="Arial" w:hAnsi="Arial" w:cs="Arial"/>
        </w:rPr>
      </w:pPr>
    </w:p>
    <w:p w14:paraId="4573CD1D" w14:textId="77777777" w:rsidR="00812C5C" w:rsidRDefault="00812C5C" w:rsidP="00812C5C">
      <w:pPr>
        <w:jc w:val="both"/>
        <w:rPr>
          <w:rFonts w:ascii="Arial" w:hAnsi="Arial" w:cs="Arial"/>
        </w:rPr>
      </w:pPr>
    </w:p>
    <w:p w14:paraId="0F676759" w14:textId="77777777" w:rsidR="00812C5C" w:rsidRPr="00812C5C" w:rsidRDefault="00812C5C" w:rsidP="00812C5C">
      <w:pPr>
        <w:spacing w:after="0" w:line="360" w:lineRule="auto"/>
        <w:jc w:val="center"/>
        <w:rPr>
          <w:rFonts w:ascii="Arial Narrow" w:eastAsia="Times New Roman" w:hAnsi="Arial Narrow" w:cs="Times New Roman"/>
          <w:b/>
          <w:sz w:val="24"/>
          <w:szCs w:val="24"/>
          <w:u w:val="single"/>
          <w:lang w:eastAsia="es-ES"/>
        </w:rPr>
      </w:pPr>
      <w:r w:rsidRPr="00812C5C">
        <w:rPr>
          <w:rFonts w:ascii="Arial Narrow" w:eastAsia="Times New Roman" w:hAnsi="Arial Narrow" w:cs="Times New Roman"/>
          <w:b/>
          <w:sz w:val="24"/>
          <w:szCs w:val="24"/>
          <w:u w:val="single"/>
          <w:lang w:eastAsia="es-ES"/>
        </w:rPr>
        <w:t>AYUDAS PARA LA DIGITALIZACIÓN DE OPERADORES DE GESTIÓN DE DERECHOS DE PROPIEDAD INTELECTUAL, CORRESPONDIENTES AL AÑO 2022</w:t>
      </w:r>
    </w:p>
    <w:p w14:paraId="770593CD" w14:textId="77777777" w:rsidR="00812C5C" w:rsidRDefault="00812C5C" w:rsidP="00812C5C">
      <w:pPr>
        <w:jc w:val="both"/>
        <w:rPr>
          <w:rFonts w:ascii="Arial" w:hAnsi="Arial" w:cs="Arial"/>
        </w:rPr>
      </w:pPr>
    </w:p>
    <w:p w14:paraId="0F15AF64" w14:textId="56B7150C" w:rsidR="00812C5C" w:rsidRPr="00812C5C" w:rsidRDefault="00812C5C" w:rsidP="00812C5C">
      <w:pPr>
        <w:jc w:val="both"/>
        <w:rPr>
          <w:rFonts w:ascii="Arial" w:hAnsi="Arial" w:cs="Arial"/>
          <w:b/>
          <w:bCs/>
        </w:rPr>
      </w:pPr>
      <w:r w:rsidRPr="00812C5C">
        <w:rPr>
          <w:rFonts w:ascii="Arial" w:hAnsi="Arial" w:cs="Arial"/>
          <w:b/>
          <w:bCs/>
        </w:rPr>
        <w:t>Declaración responsable sobre el cumplimiento del principio de no perjuicio significativo a los seis objetivos medioambientales (DNSH) en el sentido del artículo 17 del Reglamento (UE) 2020/852.</w:t>
      </w:r>
      <w:r w:rsidR="00F767B9">
        <w:rPr>
          <w:rFonts w:ascii="Arial" w:hAnsi="Arial" w:cs="Arial"/>
          <w:b/>
          <w:bCs/>
        </w:rPr>
        <w:t xml:space="preserve"> (Anexo III de la orden de convocatoria)</w:t>
      </w:r>
    </w:p>
    <w:p w14:paraId="4DF64B32" w14:textId="77777777" w:rsidR="00812C5C" w:rsidRPr="00812C5C" w:rsidRDefault="00812C5C" w:rsidP="00812C5C">
      <w:pPr>
        <w:jc w:val="both"/>
        <w:rPr>
          <w:rFonts w:ascii="Arial" w:hAnsi="Arial" w:cs="Arial"/>
        </w:rPr>
      </w:pPr>
    </w:p>
    <w:p w14:paraId="7CAF9C05" w14:textId="77777777" w:rsidR="00812C5C" w:rsidRPr="00812C5C" w:rsidRDefault="00812C5C" w:rsidP="00812C5C">
      <w:pPr>
        <w:jc w:val="both"/>
        <w:rPr>
          <w:rFonts w:ascii="Arial" w:hAnsi="Arial" w:cs="Arial"/>
        </w:rPr>
      </w:pPr>
      <w:r w:rsidRPr="00812C5C">
        <w:rPr>
          <w:rFonts w:ascii="Arial" w:hAnsi="Arial" w:cs="Arial"/>
        </w:rPr>
        <w:t>El declarante:</w:t>
      </w:r>
    </w:p>
    <w:p w14:paraId="78016A5E" w14:textId="77777777" w:rsidR="00812C5C" w:rsidRPr="00812C5C" w:rsidRDefault="00812C5C" w:rsidP="00812C5C">
      <w:pPr>
        <w:jc w:val="both"/>
        <w:rPr>
          <w:rFonts w:ascii="Arial" w:hAnsi="Arial" w:cs="Arial"/>
        </w:rPr>
      </w:pPr>
      <w:r w:rsidRPr="00812C5C">
        <w:rPr>
          <w:rFonts w:ascii="Arial" w:hAnsi="Arial" w:cs="Arial"/>
        </w:rPr>
        <w:t>Don/doña:</w:t>
      </w:r>
    </w:p>
    <w:p w14:paraId="695A9068" w14:textId="77777777" w:rsidR="00812C5C" w:rsidRPr="00812C5C" w:rsidRDefault="00812C5C" w:rsidP="00812C5C">
      <w:pPr>
        <w:jc w:val="both"/>
        <w:rPr>
          <w:rFonts w:ascii="Arial" w:hAnsi="Arial" w:cs="Arial"/>
        </w:rPr>
      </w:pPr>
    </w:p>
    <w:p w14:paraId="5262D426" w14:textId="77777777" w:rsidR="00812C5C" w:rsidRPr="00812C5C" w:rsidRDefault="00812C5C" w:rsidP="00812C5C">
      <w:pPr>
        <w:jc w:val="both"/>
        <w:rPr>
          <w:rFonts w:ascii="Arial" w:hAnsi="Arial" w:cs="Arial"/>
        </w:rPr>
      </w:pPr>
      <w:r w:rsidRPr="00812C5C">
        <w:rPr>
          <w:rFonts w:ascii="Arial" w:hAnsi="Arial" w:cs="Arial"/>
        </w:rPr>
        <w:t>En calidad de</w:t>
      </w:r>
      <w:proofErr w:type="gramStart"/>
      <w:r w:rsidRPr="00812C5C">
        <w:rPr>
          <w:rFonts w:ascii="Arial" w:hAnsi="Arial" w:cs="Arial"/>
        </w:rPr>
        <w:t>:( )</w:t>
      </w:r>
      <w:proofErr w:type="gramEnd"/>
    </w:p>
    <w:p w14:paraId="3471A500" w14:textId="77777777" w:rsidR="00812C5C" w:rsidRPr="00812C5C" w:rsidRDefault="00812C5C" w:rsidP="00812C5C">
      <w:pPr>
        <w:jc w:val="both"/>
        <w:rPr>
          <w:rFonts w:ascii="Arial" w:hAnsi="Arial" w:cs="Arial"/>
        </w:rPr>
      </w:pPr>
      <w:r w:rsidRPr="00812C5C">
        <w:rPr>
          <w:rFonts w:ascii="Arial" w:hAnsi="Arial" w:cs="Arial"/>
        </w:rPr>
        <w:t>Con NIF:</w:t>
      </w:r>
    </w:p>
    <w:p w14:paraId="06D3B9C2" w14:textId="77777777" w:rsidR="00812C5C" w:rsidRPr="00812C5C" w:rsidRDefault="00812C5C" w:rsidP="00812C5C">
      <w:pPr>
        <w:jc w:val="both"/>
        <w:rPr>
          <w:rFonts w:ascii="Arial" w:hAnsi="Arial" w:cs="Arial"/>
        </w:rPr>
      </w:pPr>
    </w:p>
    <w:p w14:paraId="038A0945" w14:textId="77777777" w:rsidR="00812C5C" w:rsidRPr="00812C5C" w:rsidRDefault="00812C5C" w:rsidP="00812C5C">
      <w:pPr>
        <w:jc w:val="both"/>
        <w:rPr>
          <w:rFonts w:ascii="Arial" w:hAnsi="Arial" w:cs="Arial"/>
        </w:rPr>
      </w:pPr>
      <w:r w:rsidRPr="00812C5C">
        <w:rPr>
          <w:rFonts w:ascii="Arial" w:hAnsi="Arial" w:cs="Arial"/>
        </w:rPr>
        <w:t>En representación de:</w:t>
      </w:r>
    </w:p>
    <w:p w14:paraId="61923B9C" w14:textId="77777777" w:rsidR="00812C5C" w:rsidRPr="00812C5C" w:rsidRDefault="00812C5C" w:rsidP="00812C5C">
      <w:pPr>
        <w:jc w:val="both"/>
        <w:rPr>
          <w:rFonts w:ascii="Arial" w:hAnsi="Arial" w:cs="Arial"/>
        </w:rPr>
      </w:pPr>
      <w:r w:rsidRPr="00812C5C">
        <w:rPr>
          <w:rFonts w:ascii="Arial" w:hAnsi="Arial" w:cs="Arial"/>
        </w:rPr>
        <w:t>Con NIF:</w:t>
      </w:r>
    </w:p>
    <w:p w14:paraId="4205BB92" w14:textId="77777777" w:rsidR="00812C5C" w:rsidRPr="00812C5C" w:rsidRDefault="00812C5C" w:rsidP="00812C5C">
      <w:pPr>
        <w:jc w:val="both"/>
        <w:rPr>
          <w:rFonts w:ascii="Arial" w:hAnsi="Arial" w:cs="Arial"/>
        </w:rPr>
      </w:pPr>
    </w:p>
    <w:p w14:paraId="70F99917" w14:textId="77777777" w:rsidR="00812C5C" w:rsidRPr="00812C5C" w:rsidRDefault="00812C5C" w:rsidP="00812C5C">
      <w:pPr>
        <w:jc w:val="both"/>
        <w:rPr>
          <w:rFonts w:ascii="Arial" w:hAnsi="Arial" w:cs="Arial"/>
        </w:rPr>
      </w:pPr>
      <w:r w:rsidRPr="00812C5C">
        <w:rPr>
          <w:rFonts w:ascii="Arial" w:hAnsi="Arial" w:cs="Arial"/>
        </w:rPr>
        <w:t>Declara bajo su responsabilidad: Que la entidad solicitante a la cual representa, teniendo en cuenta todas las fases del ciclo de vida del proyecto o actividad a desarrollar, tanto durante su implantación como al final de su vida útil, cumplirá con el principio DNSH de «no causar un perjuicio significativo» exigido por el Reglamento (UE) 2021/241, por el que se establece el Mecanismo de Recuperación y Resiliencia, de forma que:</w:t>
      </w:r>
    </w:p>
    <w:p w14:paraId="32730B61" w14:textId="77777777" w:rsidR="00812C5C" w:rsidRPr="00812C5C" w:rsidRDefault="00812C5C" w:rsidP="00812C5C">
      <w:pPr>
        <w:jc w:val="both"/>
        <w:rPr>
          <w:rFonts w:ascii="Arial" w:hAnsi="Arial" w:cs="Arial"/>
        </w:rPr>
      </w:pPr>
      <w:r w:rsidRPr="00812C5C">
        <w:rPr>
          <w:rFonts w:ascii="Arial" w:hAnsi="Arial" w:cs="Arial"/>
        </w:rPr>
        <w:t>1. No causa un perjuicio significativo a los seis objetivos medioambientales del artículo 17 del Reglamento (UE) 2020/</w:t>
      </w:r>
      <w:proofErr w:type="gramStart"/>
      <w:r w:rsidRPr="00812C5C">
        <w:rPr>
          <w:rFonts w:ascii="Arial" w:hAnsi="Arial" w:cs="Arial"/>
        </w:rPr>
        <w:t>852( )</w:t>
      </w:r>
      <w:proofErr w:type="gramEnd"/>
      <w:r w:rsidRPr="00812C5C">
        <w:rPr>
          <w:rFonts w:ascii="Arial" w:hAnsi="Arial" w:cs="Arial"/>
        </w:rPr>
        <w:t>, que se enumeran a continuación:</w:t>
      </w:r>
    </w:p>
    <w:p w14:paraId="0288642E" w14:textId="77777777" w:rsidR="00812C5C" w:rsidRPr="00812C5C" w:rsidRDefault="00812C5C" w:rsidP="00812C5C">
      <w:pPr>
        <w:jc w:val="both"/>
        <w:rPr>
          <w:rFonts w:ascii="Arial" w:hAnsi="Arial" w:cs="Arial"/>
        </w:rPr>
      </w:pPr>
      <w:r w:rsidRPr="00812C5C">
        <w:rPr>
          <w:rFonts w:ascii="Arial" w:hAnsi="Arial" w:cs="Arial"/>
        </w:rPr>
        <w:t>a) Mitigación del cambio climático –se considera que una actividad causa un perjuicio significativo a la mitigación del cambio climático si da lugar a considerables emisiones de gases de efecto invernadero (GEI).</w:t>
      </w:r>
    </w:p>
    <w:p w14:paraId="4577E751" w14:textId="77777777" w:rsidR="00812C5C" w:rsidRPr="00812C5C" w:rsidRDefault="00812C5C" w:rsidP="00812C5C">
      <w:pPr>
        <w:jc w:val="both"/>
        <w:rPr>
          <w:rFonts w:ascii="Arial" w:hAnsi="Arial" w:cs="Arial"/>
        </w:rPr>
      </w:pPr>
      <w:r w:rsidRPr="00812C5C">
        <w:rPr>
          <w:rFonts w:ascii="Arial" w:hAnsi="Arial" w:cs="Arial"/>
        </w:rPr>
        <w:t>b) Adaptación al cambio climático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activos.</w:t>
      </w:r>
    </w:p>
    <w:p w14:paraId="23F1E785" w14:textId="77777777" w:rsidR="00812C5C" w:rsidRPr="00812C5C" w:rsidRDefault="00812C5C" w:rsidP="00812C5C">
      <w:pPr>
        <w:jc w:val="both"/>
        <w:rPr>
          <w:rFonts w:ascii="Arial" w:hAnsi="Arial" w:cs="Arial"/>
        </w:rPr>
      </w:pPr>
      <w:r w:rsidRPr="00812C5C">
        <w:rPr>
          <w:rFonts w:ascii="Arial" w:hAnsi="Arial" w:cs="Arial"/>
        </w:rPr>
        <w:t xml:space="preserve">c) Uso sostenible y protección de los recursos hídricos y marinos –se considera que una actividad causa un perjuicio significativo a la utilización y protección sostenibles de los recursos hídricos y marinos si va en detrimento del buen estado o del buen potencial </w:t>
      </w:r>
      <w:r w:rsidRPr="00812C5C">
        <w:rPr>
          <w:rFonts w:ascii="Arial" w:hAnsi="Arial" w:cs="Arial"/>
        </w:rPr>
        <w:lastRenderedPageBreak/>
        <w:t>ecológico de las masas de agua, incluidas las superficiales y subterráneas, y del buen estado ecológico de las aguas marinas.</w:t>
      </w:r>
    </w:p>
    <w:p w14:paraId="124BA2AD" w14:textId="77777777" w:rsidR="00812C5C" w:rsidRPr="00812C5C" w:rsidRDefault="00812C5C" w:rsidP="00812C5C">
      <w:pPr>
        <w:jc w:val="both"/>
        <w:rPr>
          <w:rFonts w:ascii="Arial" w:hAnsi="Arial" w:cs="Arial"/>
        </w:rPr>
      </w:pPr>
      <w:r w:rsidRPr="00812C5C">
        <w:rPr>
          <w:rFonts w:ascii="Arial" w:hAnsi="Arial" w:cs="Arial"/>
        </w:rPr>
        <w:t>d) Economía circular, incluidos la prevención y el reciclado de residuos –se considera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de residuos, el tratamiento mecánico-biológico, la incineración o el depósito en vertedero de residuos; o si la eliminación de residuos a largo plazo puede causar un perjuicio significativo y a largo plazo para el medio ambiente.</w:t>
      </w:r>
    </w:p>
    <w:p w14:paraId="7AAC73A7" w14:textId="77777777" w:rsidR="00812C5C" w:rsidRPr="00812C5C" w:rsidRDefault="00812C5C" w:rsidP="00812C5C">
      <w:pPr>
        <w:jc w:val="both"/>
        <w:rPr>
          <w:rFonts w:ascii="Arial" w:hAnsi="Arial" w:cs="Arial"/>
        </w:rPr>
      </w:pPr>
      <w:r w:rsidRPr="00812C5C">
        <w:rPr>
          <w:rFonts w:ascii="Arial" w:hAnsi="Arial" w:cs="Arial"/>
        </w:rPr>
        <w:t>e) Prevención y control de la contaminación a la atmósfera, el agua o el suelo –se considera que una actividad causa un perjuicio significativo a la prevención y el control de la contaminación cuando da lugar a un aumento significativo de las emisiones de contaminantes a la atmósfera, el agua o el suelo.</w:t>
      </w:r>
    </w:p>
    <w:p w14:paraId="44DDBF56" w14:textId="77777777" w:rsidR="00812C5C" w:rsidRPr="00812C5C" w:rsidRDefault="00812C5C" w:rsidP="00812C5C">
      <w:pPr>
        <w:jc w:val="both"/>
        <w:rPr>
          <w:rFonts w:ascii="Arial" w:hAnsi="Arial" w:cs="Arial"/>
        </w:rPr>
      </w:pPr>
      <w:r w:rsidRPr="00812C5C">
        <w:rPr>
          <w:rFonts w:ascii="Arial" w:hAnsi="Arial" w:cs="Arial"/>
        </w:rPr>
        <w:t>f) Protección y restauración de la biodiversidad y los ecosistemas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p>
    <w:p w14:paraId="0A020EDA" w14:textId="77777777" w:rsidR="00812C5C" w:rsidRPr="00812C5C" w:rsidRDefault="00812C5C" w:rsidP="00812C5C">
      <w:pPr>
        <w:jc w:val="both"/>
        <w:rPr>
          <w:rFonts w:ascii="Arial" w:hAnsi="Arial" w:cs="Arial"/>
        </w:rPr>
      </w:pPr>
      <w:r w:rsidRPr="00812C5C">
        <w:rPr>
          <w:rFonts w:ascii="Arial" w:hAnsi="Arial" w:cs="Arial"/>
        </w:rPr>
        <w:t>2. La entidad solicitante no desarrolla actividades excluidas según lo indicado por la Guía técnica sobre la aplicación del principio de «no causar un perjuicio significativo» en virtud del Reglamento relativo al Mecanismo de Recuperación y Resiliencia.</w:t>
      </w:r>
    </w:p>
    <w:p w14:paraId="0C00750D" w14:textId="77777777" w:rsidR="00812C5C" w:rsidRPr="00812C5C" w:rsidRDefault="00812C5C" w:rsidP="00812C5C">
      <w:pPr>
        <w:jc w:val="both"/>
        <w:rPr>
          <w:rFonts w:ascii="Arial" w:hAnsi="Arial" w:cs="Arial"/>
        </w:rPr>
      </w:pPr>
      <w:r w:rsidRPr="00812C5C">
        <w:rPr>
          <w:rFonts w:ascii="Arial" w:hAnsi="Arial" w:cs="Arial"/>
        </w:rPr>
        <w:t>Las actividades excluidas son:</w:t>
      </w:r>
    </w:p>
    <w:p w14:paraId="08971B83" w14:textId="77777777" w:rsidR="00812C5C" w:rsidRPr="00812C5C" w:rsidRDefault="00812C5C" w:rsidP="00812C5C">
      <w:pPr>
        <w:jc w:val="both"/>
        <w:rPr>
          <w:rFonts w:ascii="Arial" w:hAnsi="Arial" w:cs="Arial"/>
        </w:rPr>
      </w:pPr>
      <w:r w:rsidRPr="00812C5C">
        <w:rPr>
          <w:rFonts w:ascii="Arial" w:hAnsi="Arial" w:cs="Arial"/>
        </w:rPr>
        <w:t></w:t>
      </w:r>
      <w:r w:rsidRPr="00812C5C">
        <w:rPr>
          <w:rFonts w:ascii="Arial" w:hAnsi="Arial" w:cs="Arial"/>
        </w:rPr>
        <w:tab/>
        <w:t>Refinerías de petróleo</w:t>
      </w:r>
    </w:p>
    <w:p w14:paraId="28073560" w14:textId="77777777" w:rsidR="00812C5C" w:rsidRPr="00812C5C" w:rsidRDefault="00812C5C" w:rsidP="00812C5C">
      <w:pPr>
        <w:jc w:val="both"/>
        <w:rPr>
          <w:rFonts w:ascii="Arial" w:hAnsi="Arial" w:cs="Arial"/>
        </w:rPr>
      </w:pPr>
      <w:r w:rsidRPr="00812C5C">
        <w:rPr>
          <w:rFonts w:ascii="Arial" w:hAnsi="Arial" w:cs="Arial"/>
        </w:rPr>
        <w:t></w:t>
      </w:r>
      <w:r w:rsidRPr="00812C5C">
        <w:rPr>
          <w:rFonts w:ascii="Arial" w:hAnsi="Arial" w:cs="Arial"/>
        </w:rPr>
        <w:tab/>
        <w:t>Centrales térmicas de carbón y extracción de combustibles fósiles</w:t>
      </w:r>
    </w:p>
    <w:p w14:paraId="379773F9" w14:textId="77777777" w:rsidR="00812C5C" w:rsidRPr="00812C5C" w:rsidRDefault="00812C5C" w:rsidP="00812C5C">
      <w:pPr>
        <w:jc w:val="both"/>
        <w:rPr>
          <w:rFonts w:ascii="Arial" w:hAnsi="Arial" w:cs="Arial"/>
        </w:rPr>
      </w:pPr>
      <w:r w:rsidRPr="00812C5C">
        <w:rPr>
          <w:rFonts w:ascii="Arial" w:hAnsi="Arial" w:cs="Arial"/>
        </w:rPr>
        <w:t></w:t>
      </w:r>
      <w:r w:rsidRPr="00812C5C">
        <w:rPr>
          <w:rFonts w:ascii="Arial" w:hAnsi="Arial" w:cs="Arial"/>
        </w:rPr>
        <w:tab/>
        <w:t>Generación de electricidad y/o calor utilizando combustibles fósiles y relacionados con su infraestructura de transporte y distribución</w:t>
      </w:r>
    </w:p>
    <w:p w14:paraId="4848F7F7" w14:textId="77777777" w:rsidR="00812C5C" w:rsidRPr="00812C5C" w:rsidRDefault="00812C5C" w:rsidP="00812C5C">
      <w:pPr>
        <w:jc w:val="both"/>
        <w:rPr>
          <w:rFonts w:ascii="Arial" w:hAnsi="Arial" w:cs="Arial"/>
        </w:rPr>
      </w:pPr>
      <w:r w:rsidRPr="00812C5C">
        <w:rPr>
          <w:rFonts w:ascii="Arial" w:hAnsi="Arial" w:cs="Arial"/>
        </w:rPr>
        <w:t></w:t>
      </w:r>
      <w:r w:rsidRPr="00812C5C">
        <w:rPr>
          <w:rFonts w:ascii="Arial" w:hAnsi="Arial" w:cs="Arial"/>
        </w:rPr>
        <w:tab/>
        <w:t>Eliminación de desechos (por ejemplo, nucleares, que puedan causar daños a largo plazo al medioambiente)</w:t>
      </w:r>
    </w:p>
    <w:p w14:paraId="325D96C6" w14:textId="77777777" w:rsidR="00812C5C" w:rsidRPr="00812C5C" w:rsidRDefault="00812C5C" w:rsidP="00812C5C">
      <w:pPr>
        <w:jc w:val="both"/>
        <w:rPr>
          <w:rFonts w:ascii="Arial" w:hAnsi="Arial" w:cs="Arial"/>
        </w:rPr>
      </w:pPr>
      <w:r w:rsidRPr="00812C5C">
        <w:rPr>
          <w:rFonts w:ascii="Arial" w:hAnsi="Arial" w:cs="Arial"/>
        </w:rPr>
        <w:t></w:t>
      </w:r>
      <w:r w:rsidRPr="00812C5C">
        <w:rPr>
          <w:rFonts w:ascii="Arial" w:hAnsi="Arial" w:cs="Arial"/>
        </w:rPr>
        <w:tab/>
        <w:t>Inversiones en instalaciones para la deposición de residuos en vertedero o inversiones en plantas de tratamiento biológico mecánico (MBT) que impliquen un aumento de su capacidad o de su vida útil (salvo plantas de tratamiento de residuos peligrosos no reciclables).</w:t>
      </w:r>
    </w:p>
    <w:p w14:paraId="4B6DEDD0" w14:textId="77777777" w:rsidR="00812C5C" w:rsidRPr="00812C5C" w:rsidRDefault="00812C5C" w:rsidP="00812C5C">
      <w:pPr>
        <w:jc w:val="both"/>
        <w:rPr>
          <w:rFonts w:ascii="Arial" w:hAnsi="Arial" w:cs="Arial"/>
        </w:rPr>
      </w:pPr>
      <w:r w:rsidRPr="00812C5C">
        <w:rPr>
          <w:rFonts w:ascii="Arial" w:hAnsi="Arial" w:cs="Arial"/>
        </w:rPr>
        <w:t></w:t>
      </w:r>
      <w:r w:rsidRPr="00812C5C">
        <w:rPr>
          <w:rFonts w:ascii="Arial" w:hAnsi="Arial" w:cs="Arial"/>
        </w:rPr>
        <w:tab/>
        <w:t>Actividades cubiertas por el régimen de comercio de derechos de emisión de la UE (según el anexo I de la Ley 1/2005 de 9 de marzo, por la que se regula el régimen del comercio de derechos de emisión de gases de efecto invernadero.</w:t>
      </w:r>
    </w:p>
    <w:p w14:paraId="53493421" w14:textId="77777777" w:rsidR="00812C5C" w:rsidRPr="00812C5C" w:rsidRDefault="00812C5C" w:rsidP="00812C5C">
      <w:pPr>
        <w:jc w:val="both"/>
        <w:rPr>
          <w:rFonts w:ascii="Arial" w:hAnsi="Arial" w:cs="Arial"/>
        </w:rPr>
      </w:pPr>
    </w:p>
    <w:p w14:paraId="3A61C196" w14:textId="77777777" w:rsidR="00812C5C" w:rsidRPr="00812C5C" w:rsidRDefault="00812C5C" w:rsidP="00812C5C">
      <w:pPr>
        <w:jc w:val="both"/>
        <w:rPr>
          <w:rFonts w:ascii="Arial" w:hAnsi="Arial" w:cs="Arial"/>
        </w:rPr>
      </w:pPr>
      <w:r w:rsidRPr="00812C5C">
        <w:rPr>
          <w:rFonts w:ascii="Arial" w:hAnsi="Arial" w:cs="Arial"/>
        </w:rPr>
        <w:t>3. La entidad solicitante no prevé efectos directos del proyecto o actividad sobre el medioambiente, ni efectos indirectos primarios, entendiendo como tales aquéllos que pudieran materializarse tras su finalización, una vez realizado el proyecto o actividad.</w:t>
      </w:r>
    </w:p>
    <w:p w14:paraId="534C6B09" w14:textId="77777777" w:rsidR="00812C5C" w:rsidRPr="00812C5C" w:rsidRDefault="00812C5C" w:rsidP="00812C5C">
      <w:pPr>
        <w:jc w:val="both"/>
        <w:rPr>
          <w:rFonts w:ascii="Arial" w:hAnsi="Arial" w:cs="Arial"/>
        </w:rPr>
      </w:pPr>
      <w:r w:rsidRPr="00812C5C">
        <w:rPr>
          <w:rFonts w:ascii="Arial" w:hAnsi="Arial" w:cs="Arial"/>
        </w:rPr>
        <w:lastRenderedPageBreak/>
        <w:t>El incumplimiento de alguno de los requisitos establecido en la presente declaración dará, previo el oportuno procedimiento de reintegro, a la obligación de devolver las ayudas percibidas y los intereses de demora correspondientes.</w:t>
      </w:r>
    </w:p>
    <w:p w14:paraId="35B3266A" w14:textId="77777777" w:rsidR="00812C5C" w:rsidRPr="00812C5C" w:rsidRDefault="00812C5C" w:rsidP="00812C5C">
      <w:pPr>
        <w:jc w:val="both"/>
        <w:rPr>
          <w:rFonts w:ascii="Arial" w:hAnsi="Arial" w:cs="Arial"/>
        </w:rPr>
      </w:pPr>
    </w:p>
    <w:p w14:paraId="34D58ACC" w14:textId="77777777" w:rsidR="00812C5C" w:rsidRPr="00812C5C" w:rsidRDefault="00812C5C" w:rsidP="00812C5C">
      <w:pPr>
        <w:jc w:val="both"/>
        <w:rPr>
          <w:rFonts w:ascii="Arial" w:hAnsi="Arial" w:cs="Arial"/>
        </w:rPr>
      </w:pPr>
    </w:p>
    <w:p w14:paraId="7F3A8939" w14:textId="77777777" w:rsidR="00812C5C" w:rsidRPr="00812C5C" w:rsidRDefault="00812C5C" w:rsidP="00812C5C">
      <w:pPr>
        <w:jc w:val="both"/>
        <w:rPr>
          <w:rFonts w:ascii="Arial" w:hAnsi="Arial" w:cs="Arial"/>
        </w:rPr>
      </w:pPr>
      <w:r w:rsidRPr="00812C5C">
        <w:rPr>
          <w:rFonts w:ascii="Arial" w:hAnsi="Arial" w:cs="Arial"/>
        </w:rPr>
        <w:t>Fecha y firma</w:t>
      </w:r>
    </w:p>
    <w:p w14:paraId="03AF5D1A" w14:textId="77777777" w:rsidR="00812C5C" w:rsidRPr="00812C5C" w:rsidRDefault="00812C5C" w:rsidP="00812C5C">
      <w:pPr>
        <w:jc w:val="both"/>
        <w:rPr>
          <w:rFonts w:ascii="Arial" w:hAnsi="Arial" w:cs="Arial"/>
        </w:rPr>
      </w:pPr>
    </w:p>
    <w:p w14:paraId="090AB159" w14:textId="77777777" w:rsidR="00AA78D7" w:rsidRPr="00812C5C" w:rsidRDefault="00AA78D7" w:rsidP="00812C5C">
      <w:pPr>
        <w:jc w:val="both"/>
        <w:rPr>
          <w:rFonts w:ascii="Arial" w:hAnsi="Arial" w:cs="Arial"/>
        </w:rPr>
      </w:pPr>
    </w:p>
    <w:sectPr w:rsidR="00AA78D7" w:rsidRPr="00812C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5C"/>
    <w:rsid w:val="00812C5C"/>
    <w:rsid w:val="00AA78D7"/>
    <w:rsid w:val="00F767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B7A4"/>
  <w15:chartTrackingRefBased/>
  <w15:docId w15:val="{0811330A-98C0-4243-B5F6-F89F5CDA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761</Words>
  <Characters>4188</Characters>
  <Application>Microsoft Office Word</Application>
  <DocSecurity>0</DocSecurity>
  <Lines>34</Lines>
  <Paragraphs>9</Paragraphs>
  <ScaleCrop>false</ScaleCrop>
  <Company>Ministerio de Cultura y Deporte</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Rueda García, Teresa</dc:creator>
  <cp:keywords/>
  <dc:description/>
  <cp:lastModifiedBy>Rueda García, Teresa</cp:lastModifiedBy>
  <cp:revision>2</cp:revision>
  <dcterms:created xsi:type="dcterms:W3CDTF">2022-05-24T17:27:00Z</dcterms:created>
  <dcterms:modified xsi:type="dcterms:W3CDTF">2022-05-24T17:33:00Z</dcterms:modified>
</cp:coreProperties>
</file>